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bookmarkStart w:id="0" w:name="_GoBack"/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0D193D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October 10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0D193D" w:rsidP="007538BC">
      <w:pPr>
        <w:pStyle w:val="Subtitle"/>
        <w:rPr>
          <w:rFonts w:ascii="Calibri" w:hAnsi="Calibri"/>
          <w:sz w:val="28"/>
          <w:szCs w:val="28"/>
        </w:rPr>
      </w:pPr>
      <w:r w:rsidRPr="000D193D">
        <w:rPr>
          <w:rFonts w:ascii="Estrangelo Edessa" w:hAnsi="Estrangelo Edessa" w:cs="Estrangelo Edessa"/>
          <w:sz w:val="48"/>
          <w:szCs w:val="48"/>
        </w:rPr>
        <w:t>Melissa Brewer</w:t>
      </w:r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684D69"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BB2384" w:rsidRPr="00A03969" w:rsidRDefault="007538BC" w:rsidP="000D193D">
      <w:pPr>
        <w:autoSpaceDE w:val="0"/>
        <w:autoSpaceDN w:val="0"/>
        <w:adjustRightInd w:val="0"/>
        <w:rPr>
          <w:sz w:val="20"/>
          <w:szCs w:val="20"/>
        </w:rPr>
      </w:pPr>
      <w:r w:rsidRPr="006D0962">
        <w:rPr>
          <w:sz w:val="20"/>
          <w:szCs w:val="20"/>
        </w:rPr>
        <w:t xml:space="preserve">Title: </w:t>
      </w:r>
      <w:r w:rsidRPr="006D0962">
        <w:rPr>
          <w:color w:val="1F497D"/>
          <w:sz w:val="20"/>
          <w:szCs w:val="20"/>
        </w:rPr>
        <w:t>  </w:t>
      </w:r>
      <w:r w:rsidRPr="006D0962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0D193D" w:rsidRPr="000D193D">
        <w:rPr>
          <w:sz w:val="20"/>
          <w:szCs w:val="20"/>
        </w:rPr>
        <w:t>Alterati</w:t>
      </w:r>
      <w:r w:rsidR="000D193D">
        <w:rPr>
          <w:sz w:val="20"/>
          <w:szCs w:val="20"/>
        </w:rPr>
        <w:t xml:space="preserve">ons of the human gut microbiome </w:t>
      </w:r>
      <w:r w:rsidR="000D193D" w:rsidRPr="000D193D">
        <w:rPr>
          <w:sz w:val="20"/>
          <w:szCs w:val="20"/>
        </w:rPr>
        <w:t>in multiple sclerosis</w:t>
      </w:r>
    </w:p>
    <w:p w:rsidR="00BB2384" w:rsidRPr="00BB2384" w:rsidRDefault="007538BC" w:rsidP="00BB2384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6D0962">
        <w:rPr>
          <w:sz w:val="20"/>
          <w:szCs w:val="20"/>
        </w:rPr>
        <w:t xml:space="preserve"> </w:t>
      </w:r>
    </w:p>
    <w:p w:rsidR="00BB2384" w:rsidRPr="00A03969" w:rsidRDefault="00BB2384" w:rsidP="000D193D">
      <w:pPr>
        <w:rPr>
          <w:rFonts w:ascii="LHLHP A+ Gulliver RM" w:hAnsi="LHLHP A+ Gulliver RM" w:cs="LHLHP A+ Gulliver RM"/>
          <w:sz w:val="21"/>
          <w:szCs w:val="21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Sushrut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Jangi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Roopali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 Gandhi1, Laura M. Cox, Ning Li, Felipe von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Glehn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Raymond Yan, Bonny Pate1, Maria Antonietta Mazzola,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Shirong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 Liu, Bonnie L.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Glanz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Sandra Cook, Stephanie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Tankou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Fiona Stuart,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Kirsy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Melo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Parham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Nejad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Kathleen Smith,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Begu¨m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 D.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Topc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¸ James Holden, Pia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Kivisa¨kk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Tanuja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Chitnis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Philip L. De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Jager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, Francisco J. Quintana, Georg K. Gerber, Lynn </w:t>
      </w:r>
      <w:proofErr w:type="spellStart"/>
      <w:r w:rsidR="000D193D" w:rsidRPr="000D193D">
        <w:rPr>
          <w:rFonts w:ascii="LHLHP A+ Gulliver RM" w:hAnsi="LHLHP A+ Gulliver RM" w:cs="LHLHP A+ Gulliver RM"/>
          <w:sz w:val="20"/>
          <w:szCs w:val="20"/>
        </w:rPr>
        <w:t>Bry</w:t>
      </w:r>
      <w:proofErr w:type="spellEnd"/>
      <w:r w:rsidR="000D193D" w:rsidRPr="000D193D">
        <w:rPr>
          <w:rFonts w:ascii="LHLHP A+ Gulliver RM" w:hAnsi="LHLHP A+ Gulliver RM" w:cs="LHLHP A+ Gulliver RM"/>
          <w:sz w:val="20"/>
          <w:szCs w:val="20"/>
        </w:rPr>
        <w:t xml:space="preserve"> &amp; Howard L. Weiner</w:t>
      </w:r>
    </w:p>
    <w:p w:rsidR="007538BC" w:rsidRPr="000D193D" w:rsidRDefault="005F7A38" w:rsidP="000D193D">
      <w:pPr>
        <w:autoSpaceDE w:val="0"/>
        <w:autoSpaceDN w:val="0"/>
        <w:adjustRightInd w:val="0"/>
        <w:rPr>
          <w:rFonts w:ascii="LHLHP A+ Gulliver RM" w:hAnsi="LHLHP A+ Gulliver RM" w:cs="AdvOTea1a7398"/>
          <w:sz w:val="20"/>
          <w:szCs w:val="20"/>
        </w:rPr>
      </w:pPr>
      <w:r w:rsidRPr="000D193D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 w:rsidRPr="000D193D">
        <w:rPr>
          <w:rFonts w:ascii="AdvGulliv-R" w:hAnsi="AdvGulliv-R" w:cs="AdvGulliv-R"/>
          <w:color w:val="000000"/>
          <w:sz w:val="20"/>
          <w:szCs w:val="20"/>
        </w:rPr>
        <w:br/>
      </w:r>
      <w:r w:rsidR="000D193D" w:rsidRPr="000D193D">
        <w:rPr>
          <w:rFonts w:ascii="LHLHP A+ Gulliver RM" w:hAnsi="LHLHP A+ Gulliver RM" w:cs="AdvOTea1a7398"/>
          <w:sz w:val="20"/>
          <w:szCs w:val="20"/>
        </w:rPr>
        <w:t>The gut microbiome plays an important role in immune function and has been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 implicated in several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autoimmune disorders. Here we use 16S </w:t>
      </w:r>
      <w:proofErr w:type="spellStart"/>
      <w:r w:rsidR="000D193D" w:rsidRPr="000D193D">
        <w:rPr>
          <w:rFonts w:ascii="LHLHP A+ Gulliver RM" w:hAnsi="LHLHP A+ Gulliver RM" w:cs="AdvOTea1a7398"/>
          <w:sz w:val="20"/>
          <w:szCs w:val="20"/>
        </w:rPr>
        <w:t>rRNA</w:t>
      </w:r>
      <w:proofErr w:type="spellEnd"/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 se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quencing to investigate the gut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microbiome in subjects with multiple sclerosis (MS, </w:t>
      </w:r>
      <w:r w:rsidR="000D193D" w:rsidRPr="000D193D">
        <w:rPr>
          <w:rFonts w:ascii="LHLHP A+ Gulliver RM" w:hAnsi="LHLHP A+ Gulliver RM" w:cs="AdvOT9bd21c25.I"/>
          <w:sz w:val="20"/>
          <w:szCs w:val="20"/>
        </w:rPr>
        <w:t>n</w:t>
      </w:r>
      <w:r w:rsidR="000D193D" w:rsidRPr="000D193D">
        <w:rPr>
          <w:rFonts w:ascii="LHLHP A+ Gulliver RM" w:hAnsi="LHLHP A+ Gulliver RM" w:cs="AdvP4C4E74"/>
          <w:sz w:val="20"/>
          <w:szCs w:val="20"/>
        </w:rPr>
        <w:t>¼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>60) and healthy controls (</w:t>
      </w:r>
      <w:r w:rsidR="000D193D" w:rsidRPr="000D193D">
        <w:rPr>
          <w:rFonts w:ascii="LHLHP A+ Gulliver RM" w:hAnsi="LHLHP A+ Gulliver RM" w:cs="AdvOT9bd21c25.I"/>
          <w:sz w:val="20"/>
          <w:szCs w:val="20"/>
        </w:rPr>
        <w:t>n</w:t>
      </w:r>
      <w:r w:rsidR="000D193D" w:rsidRPr="000D193D">
        <w:rPr>
          <w:rFonts w:ascii="LHLHP A+ Gulliver RM" w:hAnsi="LHLHP A+ Gulliver RM" w:cs="AdvP4C4E74"/>
          <w:sz w:val="20"/>
          <w:szCs w:val="20"/>
        </w:rPr>
        <w:t>¼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43).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Microbiome alterations in MS include increases in </w:t>
      </w:r>
      <w:proofErr w:type="spellStart"/>
      <w:r w:rsidR="000D193D" w:rsidRPr="000D193D">
        <w:rPr>
          <w:rFonts w:ascii="LHLHP A+ Gulliver RM" w:hAnsi="LHLHP A+ Gulliver RM" w:cs="AdvOT9bd21c25.I"/>
          <w:sz w:val="20"/>
          <w:szCs w:val="20"/>
        </w:rPr>
        <w:t>Methanobrevibacter</w:t>
      </w:r>
      <w:proofErr w:type="spellEnd"/>
      <w:r w:rsidR="000D193D" w:rsidRPr="000D193D">
        <w:rPr>
          <w:rFonts w:ascii="LHLHP A+ Gulliver RM" w:hAnsi="LHLHP A+ Gulliver RM" w:cs="AdvOT9bd21c25.I"/>
          <w:sz w:val="20"/>
          <w:szCs w:val="20"/>
        </w:rPr>
        <w:t xml:space="preserve">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and </w:t>
      </w:r>
      <w:proofErr w:type="spellStart"/>
      <w:r w:rsidR="000D193D" w:rsidRPr="000D193D">
        <w:rPr>
          <w:rFonts w:ascii="LHLHP A+ Gulliver RM" w:hAnsi="LHLHP A+ Gulliver RM" w:cs="AdvOT9bd21c25.I"/>
          <w:sz w:val="20"/>
          <w:szCs w:val="20"/>
        </w:rPr>
        <w:t>Akkermansia</w:t>
      </w:r>
      <w:proofErr w:type="spellEnd"/>
      <w:r w:rsidR="000D193D" w:rsidRPr="000D193D">
        <w:rPr>
          <w:rFonts w:ascii="LHLHP A+ Gulliver RM" w:hAnsi="LHLHP A+ Gulliver RM" w:cs="AdvOT9bd21c25.I"/>
          <w:sz w:val="20"/>
          <w:szCs w:val="20"/>
        </w:rPr>
        <w:t xml:space="preserve">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and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decreases in </w:t>
      </w:r>
      <w:proofErr w:type="spellStart"/>
      <w:r w:rsidR="000D193D" w:rsidRPr="000D193D">
        <w:rPr>
          <w:rFonts w:ascii="LHLHP A+ Gulliver RM" w:hAnsi="LHLHP A+ Gulliver RM" w:cs="AdvOT9bd21c25.I"/>
          <w:sz w:val="20"/>
          <w:szCs w:val="20"/>
        </w:rPr>
        <w:t>Butyricimonas</w:t>
      </w:r>
      <w:proofErr w:type="spellEnd"/>
      <w:r w:rsidR="000D193D" w:rsidRPr="000D193D">
        <w:rPr>
          <w:rFonts w:ascii="LHLHP A+ Gulliver RM" w:hAnsi="LHLHP A+ Gulliver RM" w:cs="AdvOTea1a7398"/>
          <w:sz w:val="20"/>
          <w:szCs w:val="20"/>
        </w:rPr>
        <w:t>, and c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orrelate with variations in the expression of genes involved in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dendritic cell maturation, interferon </w:t>
      </w:r>
      <w:proofErr w:type="spellStart"/>
      <w:r w:rsidR="000D193D" w:rsidRPr="000D193D">
        <w:rPr>
          <w:rFonts w:ascii="LHLHP A+ Gulliver RM" w:hAnsi="LHLHP A+ Gulliver RM" w:cs="AdvOTea1a7398"/>
          <w:sz w:val="20"/>
          <w:szCs w:val="20"/>
        </w:rPr>
        <w:t>signalling</w:t>
      </w:r>
      <w:proofErr w:type="spellEnd"/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 and NF-kB </w:t>
      </w:r>
      <w:proofErr w:type="spellStart"/>
      <w:r w:rsidR="000D193D" w:rsidRPr="000D193D">
        <w:rPr>
          <w:rFonts w:ascii="LHLHP A+ Gulliver RM" w:hAnsi="LHLHP A+ Gulliver RM" w:cs="AdvOTea1a7398"/>
          <w:sz w:val="20"/>
          <w:szCs w:val="20"/>
        </w:rPr>
        <w:t>sig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>nalling</w:t>
      </w:r>
      <w:proofErr w:type="spellEnd"/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 pathways in circulating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>T cells and monocytes. Patients on disease-modifying trea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tment show increased abundances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of </w:t>
      </w:r>
      <w:proofErr w:type="spellStart"/>
      <w:r w:rsidR="000D193D" w:rsidRPr="000D193D">
        <w:rPr>
          <w:rFonts w:ascii="LHLHP A+ Gulliver RM" w:hAnsi="LHLHP A+ Gulliver RM" w:cs="AdvOT9bd21c25.I"/>
          <w:sz w:val="20"/>
          <w:szCs w:val="20"/>
        </w:rPr>
        <w:t>Prevotella</w:t>
      </w:r>
      <w:proofErr w:type="spellEnd"/>
      <w:r w:rsidR="000D193D" w:rsidRPr="000D193D">
        <w:rPr>
          <w:rFonts w:ascii="LHLHP A+ Gulliver RM" w:hAnsi="LHLHP A+ Gulliver RM" w:cs="AdvOT9bd21c25.I"/>
          <w:sz w:val="20"/>
          <w:szCs w:val="20"/>
        </w:rPr>
        <w:t xml:space="preserve">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and </w:t>
      </w:r>
      <w:proofErr w:type="spellStart"/>
      <w:r w:rsidR="000D193D" w:rsidRPr="000D193D">
        <w:rPr>
          <w:rFonts w:ascii="LHLHP A+ Gulliver RM" w:hAnsi="LHLHP A+ Gulliver RM" w:cs="AdvOT9bd21c25.I"/>
          <w:sz w:val="20"/>
          <w:szCs w:val="20"/>
        </w:rPr>
        <w:t>Sutterella</w:t>
      </w:r>
      <w:proofErr w:type="spellEnd"/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, and decreased </w:t>
      </w:r>
      <w:proofErr w:type="spellStart"/>
      <w:r w:rsidR="000D193D" w:rsidRPr="000D193D">
        <w:rPr>
          <w:rFonts w:ascii="LHLHP A+ Gulliver RM" w:hAnsi="LHLHP A+ Gulliver RM" w:cs="AdvOT9bd21c25.I"/>
          <w:sz w:val="20"/>
          <w:szCs w:val="20"/>
        </w:rPr>
        <w:t>Sarcina</w:t>
      </w:r>
      <w:proofErr w:type="spellEnd"/>
      <w:r w:rsidR="000D193D" w:rsidRPr="000D193D">
        <w:rPr>
          <w:rFonts w:ascii="LHLHP A+ Gulliver RM" w:hAnsi="LHLHP A+ Gulliver RM" w:cs="AdvOTea1a7398"/>
          <w:sz w:val="20"/>
          <w:szCs w:val="20"/>
        </w:rPr>
        <w:t>, co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mpared with untreated patients.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MS patients of a second cohort show elevated breath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methane compared with controls,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consistent with our observation of increased gut </w:t>
      </w:r>
      <w:proofErr w:type="spellStart"/>
      <w:r w:rsidR="000D193D" w:rsidRPr="000D193D">
        <w:rPr>
          <w:rFonts w:ascii="LHLHP A+ Gulliver RM" w:hAnsi="LHLHP A+ Gulliver RM" w:cs="AdvOT9bd21c25.I"/>
          <w:sz w:val="20"/>
          <w:szCs w:val="20"/>
        </w:rPr>
        <w:t>Methanobrevibacter</w:t>
      </w:r>
      <w:proofErr w:type="spellEnd"/>
      <w:r w:rsidR="000D193D" w:rsidRPr="000D193D">
        <w:rPr>
          <w:rFonts w:ascii="LHLHP A+ Gulliver RM" w:hAnsi="LHLHP A+ Gulliver RM" w:cs="AdvOT9bd21c25.I"/>
          <w:sz w:val="20"/>
          <w:szCs w:val="20"/>
        </w:rPr>
        <w:t xml:space="preserve">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in MS in the first </w:t>
      </w:r>
      <w:proofErr w:type="spellStart"/>
      <w:r w:rsidR="000D193D" w:rsidRPr="000D193D">
        <w:rPr>
          <w:rFonts w:ascii="LHLHP A+ Gulliver RM" w:hAnsi="LHLHP A+ Gulliver RM" w:cs="AdvOTea1a7398"/>
          <w:sz w:val="20"/>
          <w:szCs w:val="20"/>
        </w:rPr>
        <w:t>cohort.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>Further</w:t>
      </w:r>
      <w:proofErr w:type="spellEnd"/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 study is required to assess whether the observed al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 xml:space="preserve">terations in the gut microbiome </w:t>
      </w:r>
      <w:r w:rsidR="000D193D" w:rsidRPr="000D193D">
        <w:rPr>
          <w:rFonts w:ascii="LHLHP A+ Gulliver RM" w:hAnsi="LHLHP A+ Gulliver RM" w:cs="AdvOTea1a7398"/>
          <w:sz w:val="20"/>
          <w:szCs w:val="20"/>
        </w:rPr>
        <w:t>play a role in, or are a consequence of, MS pathogenesis.</w:t>
      </w: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ea1a739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bd21c25.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0D193D"/>
    <w:rsid w:val="002E274B"/>
    <w:rsid w:val="005F7A38"/>
    <w:rsid w:val="00684D69"/>
    <w:rsid w:val="006D0962"/>
    <w:rsid w:val="007538BC"/>
    <w:rsid w:val="00A03969"/>
    <w:rsid w:val="00BB2384"/>
    <w:rsid w:val="00C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2016-10-05T18:04:00Z</dcterms:created>
  <dcterms:modified xsi:type="dcterms:W3CDTF">2016-10-05T18:04:00Z</dcterms:modified>
</cp:coreProperties>
</file>